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1-5"/>
        <w:tblW w:w="5000" w:type="pct"/>
        <w:tblLook w:val="01E0"/>
      </w:tblPr>
      <w:tblGrid>
        <w:gridCol w:w="3084"/>
        <w:gridCol w:w="11090"/>
      </w:tblGrid>
      <w:tr w:rsidR="00A350C4" w:rsidRPr="002A3EF9" w:rsidTr="00A350C4">
        <w:trPr>
          <w:cnfStyle w:val="100000000000"/>
          <w:trHeight w:val="416"/>
        </w:trPr>
        <w:tc>
          <w:tcPr>
            <w:cnfStyle w:val="001000000000"/>
            <w:tcW w:w="1088" w:type="pct"/>
            <w:tcBorders>
              <w:right w:val="single" w:sz="4" w:space="0" w:color="auto"/>
            </w:tcBorders>
            <w:vAlign w:val="center"/>
          </w:tcPr>
          <w:p w:rsidR="00DE00DB" w:rsidRPr="00DE00DB" w:rsidRDefault="00DE00DB" w:rsidP="00973B0B">
            <w:pPr>
              <w:spacing w:line="360" w:lineRule="auto"/>
              <w:rPr>
                <w:rFonts w:cs="Times New Roman"/>
                <w:color w:val="000000" w:themeColor="text1"/>
                <w:szCs w:val="21"/>
              </w:rPr>
            </w:pPr>
            <w:r w:rsidRPr="00DE00DB">
              <w:rPr>
                <w:rFonts w:cs="Times New Roman"/>
                <w:color w:val="000000" w:themeColor="text1"/>
                <w:szCs w:val="21"/>
              </w:rPr>
              <w:t>产品名称</w:t>
            </w:r>
          </w:p>
        </w:tc>
        <w:tc>
          <w:tcPr>
            <w:cnfStyle w:val="000100000000"/>
            <w:tcW w:w="3912" w:type="pct"/>
            <w:tcBorders>
              <w:left w:val="single" w:sz="4" w:space="0" w:color="auto"/>
            </w:tcBorders>
            <w:vAlign w:val="center"/>
          </w:tcPr>
          <w:p w:rsidR="00DE00DB" w:rsidRPr="00DE00DB" w:rsidRDefault="00032C85" w:rsidP="00C01EC9">
            <w:pPr>
              <w:spacing w:line="360" w:lineRule="auto"/>
              <w:jc w:val="center"/>
              <w:rPr>
                <w:rFonts w:cs="Times New Roman"/>
                <w:color w:val="000000" w:themeColor="text1"/>
                <w:szCs w:val="21"/>
              </w:rPr>
            </w:pPr>
            <w:r>
              <w:rPr>
                <w:rFonts w:cs="Times New Roman" w:hint="eastAsia"/>
                <w:color w:val="000000" w:themeColor="text1"/>
                <w:szCs w:val="21"/>
              </w:rPr>
              <w:t>艾叶</w:t>
            </w:r>
            <w:r w:rsidR="00E71C0F">
              <w:rPr>
                <w:rFonts w:cs="Times New Roman" w:hint="eastAsia"/>
                <w:color w:val="000000" w:themeColor="text1"/>
                <w:szCs w:val="21"/>
              </w:rPr>
              <w:t>远航</w:t>
            </w:r>
            <w:r w:rsidR="00467568">
              <w:rPr>
                <w:rFonts w:cs="Times New Roman" w:hint="eastAsia"/>
                <w:color w:val="000000" w:themeColor="text1"/>
                <w:szCs w:val="21"/>
              </w:rPr>
              <w:t>中财</w:t>
            </w:r>
            <w:r w:rsidR="00DE00DB" w:rsidRPr="00DE00DB">
              <w:rPr>
                <w:rFonts w:cs="Times New Roman"/>
                <w:color w:val="000000" w:themeColor="text1"/>
                <w:szCs w:val="21"/>
              </w:rPr>
              <w:t>1</w:t>
            </w:r>
            <w:r w:rsidR="00467568">
              <w:rPr>
                <w:rFonts w:cs="Times New Roman" w:hint="eastAsia"/>
                <w:color w:val="000000" w:themeColor="text1"/>
                <w:szCs w:val="21"/>
              </w:rPr>
              <w:t>期对冲基金</w:t>
            </w:r>
          </w:p>
        </w:tc>
      </w:tr>
      <w:tr w:rsidR="00DE00DB" w:rsidRPr="002A3EF9" w:rsidTr="00A350C4">
        <w:trPr>
          <w:cnfStyle w:val="000000100000"/>
          <w:trHeight w:val="263"/>
        </w:trPr>
        <w:tc>
          <w:tcPr>
            <w:cnfStyle w:val="001000000000"/>
            <w:tcW w:w="1088" w:type="pct"/>
            <w:tcBorders>
              <w:right w:val="single" w:sz="4" w:space="0" w:color="auto"/>
            </w:tcBorders>
            <w:vAlign w:val="center"/>
          </w:tcPr>
          <w:p w:rsidR="00DE00DB" w:rsidRPr="002A3EF9" w:rsidRDefault="00DE00DB" w:rsidP="00973B0B">
            <w:pPr>
              <w:spacing w:line="360" w:lineRule="auto"/>
              <w:rPr>
                <w:rFonts w:cs="Times New Roman"/>
                <w:szCs w:val="21"/>
              </w:rPr>
            </w:pPr>
            <w:r w:rsidRPr="002A3EF9">
              <w:rPr>
                <w:rFonts w:cs="Times New Roman"/>
                <w:szCs w:val="21"/>
              </w:rPr>
              <w:t>产品类型</w:t>
            </w:r>
            <w:r w:rsidR="00A350C4">
              <w:rPr>
                <w:rFonts w:cs="Times New Roman" w:hint="eastAsia"/>
                <w:szCs w:val="21"/>
              </w:rPr>
              <w:t>/</w:t>
            </w:r>
            <w:r w:rsidR="00A350C4">
              <w:rPr>
                <w:rFonts w:cs="Times New Roman" w:hint="eastAsia"/>
                <w:szCs w:val="21"/>
              </w:rPr>
              <w:t>规模</w:t>
            </w:r>
            <w:r w:rsidR="00A350C4">
              <w:rPr>
                <w:rFonts w:cs="Times New Roman" w:hint="eastAsia"/>
                <w:szCs w:val="21"/>
              </w:rPr>
              <w:t>/</w:t>
            </w:r>
            <w:r w:rsidR="00A350C4">
              <w:rPr>
                <w:rFonts w:cs="Times New Roman" w:hint="eastAsia"/>
                <w:szCs w:val="21"/>
              </w:rPr>
              <w:t>成立时间</w:t>
            </w:r>
            <w:r w:rsidR="00A350C4">
              <w:rPr>
                <w:rFonts w:cs="Times New Roman" w:hint="eastAsia"/>
                <w:szCs w:val="21"/>
              </w:rPr>
              <w:t>/</w:t>
            </w:r>
            <w:r w:rsidR="00A350C4">
              <w:rPr>
                <w:rFonts w:cs="Times New Roman" w:hint="eastAsia"/>
                <w:szCs w:val="21"/>
              </w:rPr>
              <w:t>期限</w:t>
            </w:r>
          </w:p>
        </w:tc>
        <w:tc>
          <w:tcPr>
            <w:cnfStyle w:val="000100000000"/>
            <w:tcW w:w="3912" w:type="pct"/>
            <w:tcBorders>
              <w:left w:val="single" w:sz="4" w:space="0" w:color="auto"/>
            </w:tcBorders>
            <w:vAlign w:val="center"/>
          </w:tcPr>
          <w:p w:rsidR="00DE00DB" w:rsidRPr="00032C85" w:rsidRDefault="00032C85" w:rsidP="00973B0B">
            <w:pPr>
              <w:spacing w:line="360" w:lineRule="auto"/>
              <w:rPr>
                <w:rFonts w:cs="Times New Roman"/>
                <w:szCs w:val="21"/>
              </w:rPr>
            </w:pPr>
            <w:r>
              <w:rPr>
                <w:rFonts w:ascii="华文细黑" w:eastAsia="华文细黑" w:hAnsi="华文细黑" w:hint="eastAsia"/>
                <w:szCs w:val="21"/>
              </w:rPr>
              <w:t>一对多管理型/</w:t>
            </w:r>
            <w:r w:rsidR="00973B0B">
              <w:rPr>
                <w:rFonts w:ascii="华文细黑" w:eastAsia="华文细黑" w:hAnsi="华文细黑" w:hint="eastAsia"/>
                <w:szCs w:val="21"/>
              </w:rPr>
              <w:t>预计</w:t>
            </w:r>
            <w:r w:rsidR="00714817">
              <w:rPr>
                <w:rFonts w:ascii="华文细黑" w:eastAsia="华文细黑" w:hAnsi="华文细黑" w:hint="eastAsia"/>
                <w:szCs w:val="21"/>
              </w:rPr>
              <w:t>3000万</w:t>
            </w:r>
            <w:r>
              <w:rPr>
                <w:rFonts w:ascii="华文细黑" w:eastAsia="华文细黑" w:hAnsi="华文细黑" w:hint="eastAsia"/>
                <w:szCs w:val="21"/>
              </w:rPr>
              <w:t>/</w:t>
            </w:r>
            <w:r w:rsidR="00714817">
              <w:rPr>
                <w:rFonts w:ascii="华文细黑" w:eastAsia="华文细黑" w:hAnsi="华文细黑" w:hint="eastAsia"/>
                <w:szCs w:val="21"/>
              </w:rPr>
              <w:t>预计10月/</w:t>
            </w:r>
            <w:r>
              <w:rPr>
                <w:rFonts w:ascii="华文细黑" w:eastAsia="华文细黑" w:hAnsi="华文细黑" w:hint="eastAsia"/>
                <w:szCs w:val="21"/>
              </w:rPr>
              <w:t>本产品不设固定期限</w:t>
            </w:r>
          </w:p>
        </w:tc>
      </w:tr>
      <w:tr w:rsidR="00DE00DB" w:rsidRPr="002A3EF9" w:rsidTr="00A350C4">
        <w:trPr>
          <w:cnfStyle w:val="000000010000"/>
          <w:trHeight w:val="249"/>
        </w:trPr>
        <w:tc>
          <w:tcPr>
            <w:cnfStyle w:val="001000000000"/>
            <w:tcW w:w="1088" w:type="pct"/>
            <w:tcBorders>
              <w:right w:val="single" w:sz="4" w:space="0" w:color="auto"/>
            </w:tcBorders>
            <w:vAlign w:val="center"/>
          </w:tcPr>
          <w:p w:rsidR="00DE00DB" w:rsidRPr="002A3EF9" w:rsidRDefault="00DE00DB" w:rsidP="00973B0B">
            <w:pPr>
              <w:spacing w:line="360" w:lineRule="auto"/>
              <w:rPr>
                <w:rFonts w:cs="Times New Roman"/>
                <w:szCs w:val="21"/>
              </w:rPr>
            </w:pPr>
            <w:r w:rsidRPr="002A3EF9">
              <w:rPr>
                <w:rFonts w:cs="Times New Roman"/>
                <w:szCs w:val="21"/>
              </w:rPr>
              <w:t>管理人</w:t>
            </w:r>
            <w:r w:rsidR="00A350C4">
              <w:rPr>
                <w:rFonts w:cs="Times New Roman" w:hint="eastAsia"/>
                <w:szCs w:val="21"/>
              </w:rPr>
              <w:t>/</w:t>
            </w:r>
            <w:r w:rsidR="00A350C4">
              <w:rPr>
                <w:rFonts w:cs="Times New Roman" w:hint="eastAsia"/>
                <w:szCs w:val="21"/>
              </w:rPr>
              <w:t>托管</w:t>
            </w:r>
          </w:p>
        </w:tc>
        <w:tc>
          <w:tcPr>
            <w:cnfStyle w:val="000100000000"/>
            <w:tcW w:w="3912" w:type="pct"/>
            <w:tcBorders>
              <w:left w:val="single" w:sz="4" w:space="0" w:color="auto"/>
            </w:tcBorders>
            <w:vAlign w:val="center"/>
          </w:tcPr>
          <w:p w:rsidR="00DE00DB" w:rsidRPr="002A3EF9" w:rsidRDefault="00032C85" w:rsidP="00973B0B">
            <w:pPr>
              <w:spacing w:line="360" w:lineRule="auto"/>
              <w:rPr>
                <w:rFonts w:cs="Times New Roman"/>
                <w:szCs w:val="21"/>
              </w:rPr>
            </w:pPr>
            <w:r w:rsidRPr="00032C85">
              <w:rPr>
                <w:rFonts w:ascii="华文细黑" w:eastAsia="华文细黑" w:hAnsi="华文细黑" w:hint="eastAsia"/>
                <w:szCs w:val="21"/>
              </w:rPr>
              <w:t>上海艾叶投资管理有限公司</w:t>
            </w:r>
            <w:r w:rsidR="00373D6D">
              <w:rPr>
                <w:rFonts w:ascii="华文细黑" w:eastAsia="华文细黑" w:hAnsi="华文细黑" w:hint="eastAsia"/>
                <w:szCs w:val="21"/>
              </w:rPr>
              <w:t>/</w:t>
            </w:r>
            <w:r w:rsidR="00373D6D" w:rsidRPr="00373D6D">
              <w:rPr>
                <w:rFonts w:ascii="华文细黑" w:eastAsia="华文细黑" w:hAnsi="华文细黑" w:hint="eastAsia"/>
                <w:szCs w:val="21"/>
              </w:rPr>
              <w:t>国信证券股份有限公司</w:t>
            </w:r>
          </w:p>
        </w:tc>
      </w:tr>
      <w:tr w:rsidR="00DE00DB" w:rsidRPr="002A3EF9" w:rsidTr="00A350C4">
        <w:trPr>
          <w:cnfStyle w:val="000000100000"/>
          <w:trHeight w:val="273"/>
        </w:trPr>
        <w:tc>
          <w:tcPr>
            <w:cnfStyle w:val="001000000000"/>
            <w:tcW w:w="1088" w:type="pct"/>
            <w:tcBorders>
              <w:right w:val="single" w:sz="4" w:space="0" w:color="auto"/>
            </w:tcBorders>
            <w:vAlign w:val="center"/>
          </w:tcPr>
          <w:p w:rsidR="00DE00DB" w:rsidRPr="002A3EF9" w:rsidRDefault="00DE00DB" w:rsidP="00973B0B">
            <w:pPr>
              <w:spacing w:line="360" w:lineRule="auto"/>
              <w:rPr>
                <w:rFonts w:cs="Times New Roman"/>
                <w:szCs w:val="21"/>
              </w:rPr>
            </w:pPr>
            <w:r w:rsidRPr="002A3EF9">
              <w:rPr>
                <w:rFonts w:cs="Times New Roman"/>
                <w:szCs w:val="21"/>
              </w:rPr>
              <w:t>认／申购起点</w:t>
            </w:r>
          </w:p>
        </w:tc>
        <w:tc>
          <w:tcPr>
            <w:cnfStyle w:val="000100000000"/>
            <w:tcW w:w="3912" w:type="pct"/>
            <w:tcBorders>
              <w:left w:val="single" w:sz="4" w:space="0" w:color="auto"/>
            </w:tcBorders>
            <w:vAlign w:val="center"/>
          </w:tcPr>
          <w:p w:rsidR="00DE00DB" w:rsidRPr="002A3EF9" w:rsidRDefault="00032C85" w:rsidP="00190E4C">
            <w:pPr>
              <w:spacing w:line="360" w:lineRule="auto"/>
              <w:ind w:firstLineChars="200" w:firstLine="420"/>
              <w:rPr>
                <w:rFonts w:cs="Times New Roman"/>
                <w:szCs w:val="21"/>
              </w:rPr>
            </w:pPr>
            <w:r>
              <w:rPr>
                <w:rFonts w:ascii="华文细黑" w:eastAsia="华文细黑" w:hAnsi="华文细黑" w:hint="eastAsia"/>
              </w:rPr>
              <w:t>投资人</w:t>
            </w:r>
            <w:r w:rsidRPr="00BA39B6">
              <w:rPr>
                <w:rFonts w:ascii="华文细黑" w:eastAsia="华文细黑" w:hAnsi="华文细黑" w:hint="eastAsia"/>
              </w:rPr>
              <w:t>初始认购金额不低于人民币</w:t>
            </w:r>
            <w:r w:rsidRPr="00BA39B6">
              <w:rPr>
                <w:rFonts w:ascii="华文细黑" w:eastAsia="华文细黑" w:hAnsi="华文细黑"/>
              </w:rPr>
              <w:t>100万元</w:t>
            </w:r>
            <w:r w:rsidRPr="00BA39B6">
              <w:rPr>
                <w:rFonts w:ascii="华文细黑" w:eastAsia="华文细黑" w:hAnsi="华文细黑" w:hint="eastAsia"/>
              </w:rPr>
              <w:t>（不含认购费），</w:t>
            </w:r>
            <w:r w:rsidRPr="00BA39B6">
              <w:rPr>
                <w:rFonts w:ascii="华文细黑" w:eastAsia="华文细黑" w:hAnsi="华文细黑" w:hint="eastAsia"/>
                <w:color w:val="000000"/>
                <w:szCs w:val="21"/>
              </w:rPr>
              <w:t>并可多次认购，认购期间追加委托投资金额应为</w:t>
            </w:r>
            <w:r w:rsidRPr="00BA39B6">
              <w:rPr>
                <w:rFonts w:ascii="华文细黑" w:eastAsia="华文细黑" w:hAnsi="华文细黑"/>
                <w:color w:val="000000"/>
                <w:szCs w:val="21"/>
              </w:rPr>
              <w:t>10</w:t>
            </w:r>
            <w:r w:rsidRPr="00BA39B6">
              <w:rPr>
                <w:rFonts w:ascii="华文细黑" w:eastAsia="华文细黑" w:hAnsi="华文细黑" w:hint="eastAsia"/>
                <w:color w:val="000000"/>
                <w:szCs w:val="21"/>
              </w:rPr>
              <w:t>万元人民币</w:t>
            </w:r>
            <w:r w:rsidRPr="00C01EC9">
              <w:rPr>
                <w:rFonts w:ascii="华文细黑" w:eastAsia="华文细黑" w:hAnsi="华文细黑" w:hint="eastAsia"/>
              </w:rPr>
              <w:t>（不含认购费）</w:t>
            </w:r>
            <w:r w:rsidRPr="00BA39B6">
              <w:rPr>
                <w:rFonts w:ascii="华文细黑" w:eastAsia="华文细黑" w:hAnsi="华文细黑" w:hint="eastAsia"/>
                <w:color w:val="000000"/>
                <w:szCs w:val="21"/>
              </w:rPr>
              <w:t>的整数倍</w:t>
            </w:r>
            <w:r w:rsidRPr="00BA39B6">
              <w:rPr>
                <w:rFonts w:ascii="华文细黑" w:eastAsia="华文细黑" w:hAnsi="华文细黑" w:hint="eastAsia"/>
              </w:rPr>
              <w:t>。</w:t>
            </w:r>
            <w:r w:rsidR="00E74A40">
              <w:rPr>
                <w:rFonts w:ascii="华文细黑" w:eastAsia="华文细黑" w:hAnsi="华文细黑" w:hint="eastAsia"/>
              </w:rPr>
              <w:t>认购费1%。</w:t>
            </w:r>
          </w:p>
        </w:tc>
      </w:tr>
      <w:tr w:rsidR="00A350C4" w:rsidRPr="002A3EF9" w:rsidTr="00A350C4">
        <w:trPr>
          <w:cnfStyle w:val="000000010000"/>
          <w:trHeight w:val="303"/>
        </w:trPr>
        <w:tc>
          <w:tcPr>
            <w:cnfStyle w:val="001000000000"/>
            <w:tcW w:w="1088" w:type="pct"/>
            <w:tcBorders>
              <w:right w:val="single" w:sz="4" w:space="0" w:color="auto"/>
            </w:tcBorders>
            <w:vAlign w:val="center"/>
          </w:tcPr>
          <w:p w:rsidR="00DE00DB" w:rsidRPr="002A3EF9" w:rsidRDefault="00DE00DB" w:rsidP="00973B0B">
            <w:pPr>
              <w:spacing w:line="360" w:lineRule="auto"/>
              <w:rPr>
                <w:rFonts w:cs="Times New Roman"/>
                <w:szCs w:val="21"/>
              </w:rPr>
            </w:pPr>
            <w:r w:rsidRPr="002A3EF9">
              <w:rPr>
                <w:rFonts w:cs="Times New Roman"/>
                <w:szCs w:val="21"/>
              </w:rPr>
              <w:t>开放频率</w:t>
            </w:r>
            <w:r w:rsidR="00A350C4">
              <w:rPr>
                <w:rFonts w:cs="Times New Roman" w:hint="eastAsia"/>
                <w:szCs w:val="21"/>
              </w:rPr>
              <w:t>/</w:t>
            </w:r>
            <w:r w:rsidR="00A350C4">
              <w:rPr>
                <w:rFonts w:cs="Times New Roman" w:hint="eastAsia"/>
                <w:szCs w:val="21"/>
              </w:rPr>
              <w:t>收益分配</w:t>
            </w:r>
            <w:r w:rsidR="00C01EC9">
              <w:rPr>
                <w:rFonts w:cs="Times New Roman" w:hint="eastAsia"/>
                <w:szCs w:val="21"/>
              </w:rPr>
              <w:t>/</w:t>
            </w:r>
            <w:r w:rsidR="00C01EC9">
              <w:rPr>
                <w:rFonts w:cs="Times New Roman" w:hint="eastAsia"/>
                <w:szCs w:val="21"/>
              </w:rPr>
              <w:t>费率</w:t>
            </w:r>
          </w:p>
        </w:tc>
        <w:tc>
          <w:tcPr>
            <w:cnfStyle w:val="000100000000"/>
            <w:tcW w:w="3912" w:type="pct"/>
            <w:tcBorders>
              <w:left w:val="single" w:sz="4" w:space="0" w:color="auto"/>
            </w:tcBorders>
            <w:vAlign w:val="center"/>
          </w:tcPr>
          <w:p w:rsidR="00DE00DB" w:rsidRPr="002A3EF9" w:rsidRDefault="00032C85" w:rsidP="00190E4C">
            <w:pPr>
              <w:spacing w:line="360" w:lineRule="auto"/>
              <w:ind w:firstLineChars="200" w:firstLine="420"/>
              <w:rPr>
                <w:rFonts w:cs="Times New Roman"/>
                <w:szCs w:val="21"/>
              </w:rPr>
            </w:pPr>
            <w:r w:rsidRPr="003D290B">
              <w:rPr>
                <w:rFonts w:ascii="华文细黑" w:eastAsia="华文细黑" w:hAnsi="华文细黑" w:hint="eastAsia"/>
              </w:rPr>
              <w:t>封闭期为基金成立日起</w:t>
            </w:r>
            <w:r>
              <w:rPr>
                <w:rFonts w:ascii="华文细黑" w:eastAsia="华文细黑" w:hAnsi="华文细黑" w:hint="eastAsia"/>
              </w:rPr>
              <w:t>6个月</w:t>
            </w:r>
            <w:r w:rsidRPr="003D290B">
              <w:rPr>
                <w:rFonts w:ascii="华文细黑" w:eastAsia="华文细黑" w:hAnsi="华文细黑" w:hint="eastAsia"/>
              </w:rPr>
              <w:t>。封闭期后每</w:t>
            </w:r>
            <w:r>
              <w:rPr>
                <w:rFonts w:ascii="华文细黑" w:eastAsia="华文细黑" w:hAnsi="华文细黑" w:hint="eastAsia"/>
              </w:rPr>
              <w:t>3</w:t>
            </w:r>
            <w:r w:rsidR="00C350A7">
              <w:rPr>
                <w:rFonts w:ascii="华文细黑" w:eastAsia="华文细黑" w:hAnsi="华文细黑" w:hint="eastAsia"/>
              </w:rPr>
              <w:t>个</w:t>
            </w:r>
            <w:r w:rsidRPr="003D290B">
              <w:rPr>
                <w:rFonts w:ascii="华文细黑" w:eastAsia="华文细黑" w:hAnsi="华文细黑" w:hint="eastAsia"/>
              </w:rPr>
              <w:t>月最后一个工作日为开放日</w:t>
            </w:r>
            <w:r>
              <w:rPr>
                <w:rFonts w:ascii="华文细黑" w:eastAsia="华文细黑" w:hAnsi="华文细黑" w:hint="eastAsia"/>
              </w:rPr>
              <w:t>。</w:t>
            </w:r>
            <w:r w:rsidR="004F3096">
              <w:rPr>
                <w:rFonts w:ascii="华文细黑" w:eastAsia="华文细黑" w:hAnsi="华文细黑" w:hint="eastAsia"/>
              </w:rPr>
              <w:t>计提管理费</w:t>
            </w:r>
            <w:r w:rsidR="00467568">
              <w:rPr>
                <w:rFonts w:ascii="华文细黑" w:eastAsia="华文细黑" w:hAnsi="华文细黑" w:hint="eastAsia"/>
              </w:rPr>
              <w:t>（1%/年）</w:t>
            </w:r>
            <w:r w:rsidR="004F3096">
              <w:rPr>
                <w:rFonts w:ascii="华文细黑" w:eastAsia="华文细黑" w:hAnsi="华文细黑" w:hint="eastAsia"/>
              </w:rPr>
              <w:t>、托管费</w:t>
            </w:r>
            <w:r w:rsidR="00467568">
              <w:rPr>
                <w:rFonts w:ascii="华文细黑" w:eastAsia="华文细黑" w:hAnsi="华文细黑" w:hint="eastAsia"/>
              </w:rPr>
              <w:t>（0.15%/年）</w:t>
            </w:r>
            <w:r w:rsidR="004F3096">
              <w:rPr>
                <w:rFonts w:ascii="华文细黑" w:eastAsia="华文细黑" w:hAnsi="华文细黑" w:hint="eastAsia"/>
              </w:rPr>
              <w:t>、外包费</w:t>
            </w:r>
            <w:r w:rsidR="00467568">
              <w:rPr>
                <w:rFonts w:ascii="华文细黑" w:eastAsia="华文细黑" w:hAnsi="华文细黑" w:hint="eastAsia"/>
              </w:rPr>
              <w:t>（0.15%/年）</w:t>
            </w:r>
            <w:r w:rsidR="004F3096">
              <w:rPr>
                <w:rFonts w:ascii="华文细黑" w:eastAsia="华文细黑" w:hAnsi="华文细黑" w:hint="eastAsia"/>
              </w:rPr>
              <w:t>以及管理人业绩报酬</w:t>
            </w:r>
            <w:r w:rsidR="00467568">
              <w:rPr>
                <w:rFonts w:ascii="华文细黑" w:eastAsia="华文细黑" w:hAnsi="华文细黑" w:hint="eastAsia"/>
              </w:rPr>
              <w:t>（产品超额收益的20%）</w:t>
            </w:r>
            <w:r w:rsidR="004F3096">
              <w:rPr>
                <w:rFonts w:ascii="华文细黑" w:eastAsia="华文细黑" w:hAnsi="华文细黑" w:hint="eastAsia"/>
              </w:rPr>
              <w:t>后收益归投资人</w:t>
            </w:r>
            <w:r w:rsidR="00467568">
              <w:rPr>
                <w:rFonts w:ascii="华文细黑" w:eastAsia="华文细黑" w:hAnsi="华文细黑" w:hint="eastAsia"/>
              </w:rPr>
              <w:t>。</w:t>
            </w:r>
          </w:p>
        </w:tc>
      </w:tr>
      <w:tr w:rsidR="00DE00DB" w:rsidRPr="00446318" w:rsidTr="00A350C4">
        <w:trPr>
          <w:cnfStyle w:val="000000100000"/>
          <w:trHeight w:val="327"/>
        </w:trPr>
        <w:tc>
          <w:tcPr>
            <w:cnfStyle w:val="001000000000"/>
            <w:tcW w:w="1088" w:type="pct"/>
            <w:tcBorders>
              <w:right w:val="single" w:sz="4" w:space="0" w:color="auto"/>
            </w:tcBorders>
            <w:vAlign w:val="center"/>
          </w:tcPr>
          <w:p w:rsidR="00DE00DB" w:rsidRPr="002A3EF9" w:rsidRDefault="00DE00DB" w:rsidP="00973B0B">
            <w:pPr>
              <w:spacing w:line="360" w:lineRule="auto"/>
              <w:rPr>
                <w:rFonts w:cs="Times New Roman"/>
                <w:szCs w:val="21"/>
              </w:rPr>
            </w:pPr>
            <w:r w:rsidRPr="002A3EF9">
              <w:rPr>
                <w:rFonts w:cs="Times New Roman"/>
                <w:szCs w:val="21"/>
              </w:rPr>
              <w:t>投资范围</w:t>
            </w:r>
          </w:p>
        </w:tc>
        <w:tc>
          <w:tcPr>
            <w:cnfStyle w:val="000100000000"/>
            <w:tcW w:w="3912" w:type="pct"/>
            <w:tcBorders>
              <w:left w:val="single" w:sz="4" w:space="0" w:color="auto"/>
            </w:tcBorders>
            <w:vAlign w:val="center"/>
          </w:tcPr>
          <w:p w:rsidR="00DE00DB" w:rsidRPr="00446318" w:rsidRDefault="00373D6D" w:rsidP="00190E4C">
            <w:pPr>
              <w:spacing w:line="360" w:lineRule="auto"/>
              <w:ind w:firstLineChars="200" w:firstLine="420"/>
              <w:rPr>
                <w:rFonts w:cs="Times New Roman"/>
                <w:szCs w:val="21"/>
              </w:rPr>
            </w:pPr>
            <w:r>
              <w:rPr>
                <w:rFonts w:ascii="华文细黑" w:eastAsia="华文细黑" w:hAnsi="华文细黑" w:hint="eastAsia"/>
              </w:rPr>
              <w:t>本基金投资于股票、公募基金（不含ETF、LOF基金）</w:t>
            </w:r>
            <w:r w:rsidRPr="00563C4E">
              <w:rPr>
                <w:rFonts w:ascii="华文细黑" w:eastAsia="华文细黑" w:hAnsi="华文细黑" w:hint="eastAsia"/>
              </w:rPr>
              <w:t>、</w:t>
            </w:r>
            <w:r w:rsidRPr="00B87068">
              <w:rPr>
                <w:rFonts w:ascii="华文细黑" w:eastAsia="华文细黑" w:hAnsi="华文细黑" w:hint="eastAsia"/>
              </w:rPr>
              <w:t>股指期货</w:t>
            </w:r>
            <w:r>
              <w:rPr>
                <w:rFonts w:ascii="华文细黑" w:eastAsia="华文细黑" w:hAnsi="华文细黑" w:hint="eastAsia"/>
              </w:rPr>
              <w:t>、商品期货</w:t>
            </w:r>
            <w:r w:rsidRPr="00190E4C">
              <w:rPr>
                <w:rFonts w:ascii="宋体" w:hAnsi="宋体" w:hint="eastAsia"/>
              </w:rPr>
              <w:t>。</w:t>
            </w:r>
            <w:r>
              <w:rPr>
                <w:rFonts w:ascii="宋体" w:hAnsi="宋体" w:hint="eastAsia"/>
              </w:rPr>
              <w:t>闲置资金可用于投资银行存款、银行理财产品、证券公司理财产品、集合资金信托计划、基金子公司特定资产管理计划。</w:t>
            </w:r>
          </w:p>
        </w:tc>
      </w:tr>
      <w:tr w:rsidR="00DE00DB" w:rsidRPr="00A00C9F" w:rsidTr="00A350C4">
        <w:trPr>
          <w:cnfStyle w:val="010000000000"/>
          <w:trHeight w:val="657"/>
        </w:trPr>
        <w:tc>
          <w:tcPr>
            <w:cnfStyle w:val="001000000000"/>
            <w:tcW w:w="1088" w:type="pct"/>
            <w:tcBorders>
              <w:right w:val="single" w:sz="4" w:space="0" w:color="auto"/>
            </w:tcBorders>
            <w:vAlign w:val="center"/>
          </w:tcPr>
          <w:p w:rsidR="00DE00DB" w:rsidRPr="002A3EF9" w:rsidRDefault="00DE00DB" w:rsidP="00973B0B">
            <w:pPr>
              <w:spacing w:line="360" w:lineRule="auto"/>
              <w:rPr>
                <w:rFonts w:cs="Times New Roman"/>
                <w:szCs w:val="21"/>
              </w:rPr>
            </w:pPr>
            <w:r w:rsidRPr="002A3EF9">
              <w:rPr>
                <w:rFonts w:cs="Times New Roman"/>
                <w:szCs w:val="21"/>
              </w:rPr>
              <w:t>风险控制</w:t>
            </w:r>
          </w:p>
        </w:tc>
        <w:tc>
          <w:tcPr>
            <w:cnfStyle w:val="000100000000"/>
            <w:tcW w:w="3912" w:type="pct"/>
            <w:tcBorders>
              <w:left w:val="single" w:sz="4" w:space="0" w:color="auto"/>
            </w:tcBorders>
            <w:vAlign w:val="center"/>
          </w:tcPr>
          <w:p w:rsidR="00032C85" w:rsidRPr="00973B0B" w:rsidRDefault="00032C85" w:rsidP="00973B0B">
            <w:pPr>
              <w:spacing w:line="360" w:lineRule="auto"/>
              <w:ind w:firstLineChars="200" w:firstLine="420"/>
              <w:rPr>
                <w:rFonts w:ascii="华文细黑" w:eastAsia="华文细黑" w:hAnsi="华文细黑"/>
              </w:rPr>
            </w:pPr>
            <w:r w:rsidRPr="00973B0B">
              <w:rPr>
                <w:rFonts w:ascii="华文细黑" w:eastAsia="华文细黑" w:hAnsi="华文细黑" w:hint="eastAsia"/>
              </w:rPr>
              <w:t>1、0.90＜单位净值≤0.94，日内交易持仓保证金市值占期货交易账户权益产品净资产比例不高于200%；隔夜持仓保证金市值占期货交易账户权益产品净资产比例不高于100%；</w:t>
            </w:r>
          </w:p>
          <w:p w:rsidR="00032C85" w:rsidRPr="00973B0B" w:rsidRDefault="00032C85" w:rsidP="00973B0B">
            <w:pPr>
              <w:spacing w:line="360" w:lineRule="auto"/>
              <w:ind w:firstLineChars="200" w:firstLine="420"/>
              <w:rPr>
                <w:rFonts w:ascii="华文细黑" w:eastAsia="华文细黑" w:hAnsi="华文细黑"/>
              </w:rPr>
            </w:pPr>
            <w:r w:rsidRPr="00973B0B">
              <w:rPr>
                <w:rFonts w:ascii="华文细黑" w:eastAsia="华文细黑" w:hAnsi="华文细黑" w:hint="eastAsia"/>
              </w:rPr>
              <w:t>2、0.94＜单位净值≤1，日内交易持仓市值保证金占产品净资产期货交易账户权益比例不高于400%；隔夜持仓市值保证金占产品净资产期货交易账户权益比例不高于200%；</w:t>
            </w:r>
          </w:p>
          <w:p w:rsidR="00DE00DB" w:rsidRPr="0077053D" w:rsidRDefault="00032C85" w:rsidP="00973B0B">
            <w:pPr>
              <w:spacing w:line="360" w:lineRule="auto"/>
              <w:ind w:firstLineChars="200" w:firstLine="420"/>
              <w:rPr>
                <w:rFonts w:asciiTheme="minorEastAsia" w:eastAsiaTheme="minorEastAsia" w:hAnsiTheme="minorEastAsia"/>
              </w:rPr>
            </w:pPr>
            <w:r w:rsidRPr="00973B0B">
              <w:rPr>
                <w:rFonts w:ascii="华文细黑" w:eastAsia="华文细黑" w:hAnsi="华文细黑" w:hint="eastAsia"/>
              </w:rPr>
              <w:t>3、1＜单位净值，日内交易持仓市值保证金占产品净资产期货交易账户权益比例不高于 500%；隔夜持仓保证金占期货交易账户权益比例不高于300%。</w:t>
            </w:r>
          </w:p>
        </w:tc>
      </w:tr>
    </w:tbl>
    <w:p w:rsidR="0001619D" w:rsidRPr="00995ABB" w:rsidRDefault="00995ABB">
      <w:pPr>
        <w:rPr>
          <w:b/>
          <w:color w:val="000000" w:themeColor="text1"/>
        </w:rPr>
      </w:pPr>
      <w:r w:rsidRPr="00995ABB">
        <w:rPr>
          <w:rFonts w:hint="eastAsia"/>
          <w:b/>
          <w:color w:val="000000" w:themeColor="text1"/>
        </w:rPr>
        <w:t>理财有风险，投资需谨慎！要素表与合同</w:t>
      </w:r>
      <w:r w:rsidR="00417682">
        <w:rPr>
          <w:rFonts w:hint="eastAsia"/>
          <w:b/>
          <w:color w:val="000000" w:themeColor="text1"/>
        </w:rPr>
        <w:t>如有</w:t>
      </w:r>
      <w:r w:rsidRPr="00995ABB">
        <w:rPr>
          <w:rFonts w:hint="eastAsia"/>
          <w:b/>
          <w:color w:val="000000" w:themeColor="text1"/>
        </w:rPr>
        <w:t>不一致，请以合同为准！</w:t>
      </w:r>
    </w:p>
    <w:sectPr w:rsidR="0001619D" w:rsidRPr="00995ABB" w:rsidSect="00A350C4">
      <w:pgSz w:w="16838" w:h="11906" w:orient="landscape"/>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063F" w:rsidRDefault="00B4063F" w:rsidP="00DE00DB">
      <w:r>
        <w:separator/>
      </w:r>
    </w:p>
  </w:endnote>
  <w:endnote w:type="continuationSeparator" w:id="1">
    <w:p w:rsidR="00B4063F" w:rsidRDefault="00B4063F" w:rsidP="00DE00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063F" w:rsidRDefault="00B4063F" w:rsidP="00DE00DB">
      <w:r>
        <w:separator/>
      </w:r>
    </w:p>
  </w:footnote>
  <w:footnote w:type="continuationSeparator" w:id="1">
    <w:p w:rsidR="00B4063F" w:rsidRDefault="00B4063F" w:rsidP="00DE00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E00DB"/>
    <w:rsid w:val="0001619D"/>
    <w:rsid w:val="00032C85"/>
    <w:rsid w:val="00190E4C"/>
    <w:rsid w:val="00293902"/>
    <w:rsid w:val="00373D6D"/>
    <w:rsid w:val="00417682"/>
    <w:rsid w:val="00467568"/>
    <w:rsid w:val="00471E8A"/>
    <w:rsid w:val="004F3096"/>
    <w:rsid w:val="005F77D6"/>
    <w:rsid w:val="006C2450"/>
    <w:rsid w:val="00714817"/>
    <w:rsid w:val="007F2BA8"/>
    <w:rsid w:val="008F7929"/>
    <w:rsid w:val="00973B0B"/>
    <w:rsid w:val="00995ABB"/>
    <w:rsid w:val="00A350C4"/>
    <w:rsid w:val="00AB50FB"/>
    <w:rsid w:val="00B4063F"/>
    <w:rsid w:val="00C01EC9"/>
    <w:rsid w:val="00C350A7"/>
    <w:rsid w:val="00D77043"/>
    <w:rsid w:val="00D91891"/>
    <w:rsid w:val="00DE00DB"/>
    <w:rsid w:val="00E71C0F"/>
    <w:rsid w:val="00E74A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0DB"/>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E00D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E00DB"/>
    <w:rPr>
      <w:sz w:val="18"/>
      <w:szCs w:val="18"/>
    </w:rPr>
  </w:style>
  <w:style w:type="paragraph" w:styleId="a4">
    <w:name w:val="footer"/>
    <w:basedOn w:val="a"/>
    <w:link w:val="Char0"/>
    <w:uiPriority w:val="99"/>
    <w:semiHidden/>
    <w:unhideWhenUsed/>
    <w:rsid w:val="00DE00D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E00DB"/>
    <w:rPr>
      <w:sz w:val="18"/>
      <w:szCs w:val="18"/>
    </w:rPr>
  </w:style>
  <w:style w:type="table" w:styleId="-1">
    <w:name w:val="Light List Accent 1"/>
    <w:basedOn w:val="a1"/>
    <w:uiPriority w:val="61"/>
    <w:rsid w:val="00DE00DB"/>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
    <w:name w:val="Light List Accent 2"/>
    <w:basedOn w:val="a1"/>
    <w:uiPriority w:val="61"/>
    <w:rsid w:val="00DE00DB"/>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6">
    <w:name w:val="Light Shading Accent 6"/>
    <w:basedOn w:val="a1"/>
    <w:uiPriority w:val="60"/>
    <w:rsid w:val="00DE00DB"/>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1-3">
    <w:name w:val="Medium Shading 1 Accent 3"/>
    <w:basedOn w:val="a1"/>
    <w:uiPriority w:val="63"/>
    <w:rsid w:val="00DE00DB"/>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5">
    <w:name w:val="Medium Shading 1 Accent 5"/>
    <w:basedOn w:val="a1"/>
    <w:uiPriority w:val="63"/>
    <w:rsid w:val="00DE00DB"/>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100</Words>
  <Characters>573</Characters>
  <Application>Microsoft Office Word</Application>
  <DocSecurity>0</DocSecurity>
  <Lines>4</Lines>
  <Paragraphs>1</Paragraphs>
  <ScaleCrop>false</ScaleCrop>
  <Company>Microsoft</Company>
  <LinksUpToDate>false</LinksUpToDate>
  <CharactersWithSpaces>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18</cp:revision>
  <dcterms:created xsi:type="dcterms:W3CDTF">2015-09-23T05:29:00Z</dcterms:created>
  <dcterms:modified xsi:type="dcterms:W3CDTF">2015-09-28T08:32:00Z</dcterms:modified>
</cp:coreProperties>
</file>