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852" w:tblpY="2650"/>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07"/>
        <w:gridCol w:w="1843"/>
        <w:gridCol w:w="5670"/>
      </w:tblGrid>
      <w:tr w:rsidR="00E07A00" w:rsidRPr="007D74AB" w:rsidTr="00D0063B">
        <w:trPr>
          <w:trHeight w:val="214"/>
        </w:trPr>
        <w:tc>
          <w:tcPr>
            <w:tcW w:w="1207" w:type="dxa"/>
            <w:tcMar>
              <w:top w:w="11" w:type="dxa"/>
              <w:left w:w="73" w:type="dxa"/>
              <w:bottom w:w="0" w:type="dxa"/>
              <w:right w:w="73" w:type="dxa"/>
            </w:tcMar>
            <w:vAlign w:val="center"/>
          </w:tcPr>
          <w:p w:rsidR="00E07A00" w:rsidRPr="007D74AB" w:rsidRDefault="00E07A00" w:rsidP="00E07A00">
            <w:pPr>
              <w:spacing w:after="156" w:line="400" w:lineRule="exact"/>
              <w:rPr>
                <w:rFonts w:ascii="仿宋_GB2312" w:eastAsia="仿宋_GB2312" w:hAnsi="宋体"/>
                <w:b/>
              </w:rPr>
            </w:pPr>
            <w:r>
              <w:rPr>
                <w:rFonts w:ascii="仿宋_GB2312" w:eastAsia="仿宋_GB2312" w:hAnsi="宋体" w:hint="eastAsia"/>
                <w:b/>
              </w:rPr>
              <w:t>基金</w:t>
            </w:r>
            <w:r w:rsidRPr="007D74AB">
              <w:rPr>
                <w:rFonts w:ascii="仿宋_GB2312" w:eastAsia="仿宋_GB2312" w:hAnsi="宋体" w:hint="eastAsia"/>
                <w:b/>
              </w:rPr>
              <w:t xml:space="preserve">名称 </w:t>
            </w:r>
          </w:p>
        </w:tc>
        <w:tc>
          <w:tcPr>
            <w:tcW w:w="7513" w:type="dxa"/>
            <w:gridSpan w:val="2"/>
            <w:tcMar>
              <w:top w:w="11" w:type="dxa"/>
              <w:left w:w="73" w:type="dxa"/>
              <w:bottom w:w="0" w:type="dxa"/>
              <w:right w:w="73" w:type="dxa"/>
            </w:tcMar>
            <w:vAlign w:val="center"/>
          </w:tcPr>
          <w:p w:rsidR="00E07A00" w:rsidRPr="007D74AB" w:rsidRDefault="00E07A00" w:rsidP="00333270">
            <w:pPr>
              <w:spacing w:line="400" w:lineRule="exact"/>
              <w:rPr>
                <w:rFonts w:ascii="仿宋_GB2312" w:eastAsia="仿宋_GB2312" w:hAnsi="宋体"/>
              </w:rPr>
            </w:pPr>
            <w:r>
              <w:rPr>
                <w:rFonts w:ascii="仿宋_GB2312" w:eastAsia="仿宋_GB2312" w:hAnsi="宋体" w:hint="eastAsia"/>
              </w:rPr>
              <w:t>德亚进取</w:t>
            </w:r>
            <w:r w:rsidR="00333270">
              <w:rPr>
                <w:rFonts w:ascii="仿宋_GB2312" w:eastAsia="仿宋_GB2312" w:hAnsi="宋体" w:hint="eastAsia"/>
              </w:rPr>
              <w:t>六</w:t>
            </w:r>
            <w:r>
              <w:rPr>
                <w:rFonts w:ascii="仿宋_GB2312" w:eastAsia="仿宋_GB2312" w:hAnsi="宋体" w:hint="eastAsia"/>
              </w:rPr>
              <w:t>号基金</w:t>
            </w:r>
          </w:p>
        </w:tc>
      </w:tr>
      <w:tr w:rsidR="00E07A00" w:rsidRPr="007D74AB" w:rsidTr="00D0063B">
        <w:trPr>
          <w:trHeight w:val="214"/>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Pr>
                <w:rFonts w:ascii="仿宋_GB2312" w:eastAsia="仿宋_GB2312" w:hAnsi="宋体" w:hint="eastAsia"/>
                <w:b/>
              </w:rPr>
              <w:t>基金</w:t>
            </w:r>
            <w:r w:rsidRPr="007D74AB">
              <w:rPr>
                <w:rFonts w:ascii="仿宋_GB2312" w:eastAsia="仿宋_GB2312" w:hAnsi="宋体" w:hint="eastAsia"/>
                <w:b/>
              </w:rPr>
              <w:t>类型</w:t>
            </w:r>
          </w:p>
        </w:tc>
        <w:tc>
          <w:tcPr>
            <w:tcW w:w="7513" w:type="dxa"/>
            <w:gridSpan w:val="2"/>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rPr>
            </w:pPr>
            <w:r w:rsidRPr="007D74AB">
              <w:rPr>
                <w:rFonts w:ascii="仿宋_GB2312" w:eastAsia="仿宋_GB2312" w:hAnsi="宋体" w:hint="eastAsia"/>
              </w:rPr>
              <w:t>管理型</w:t>
            </w:r>
            <w:r>
              <w:rPr>
                <w:rFonts w:ascii="仿宋_GB2312" w:eastAsia="仿宋_GB2312" w:hAnsi="宋体" w:hint="eastAsia"/>
              </w:rPr>
              <w:t>（</w:t>
            </w:r>
            <w:r w:rsidRPr="0080363E">
              <w:rPr>
                <w:rFonts w:ascii="仿宋_GB2312" w:eastAsia="仿宋_GB2312" w:hAnsi="宋体" w:hint="eastAsia"/>
              </w:rPr>
              <w:t>备案私募基金</w:t>
            </w:r>
            <w:r>
              <w:rPr>
                <w:rFonts w:ascii="仿宋_GB2312" w:eastAsia="仿宋_GB2312" w:hAnsi="宋体" w:hint="eastAsia"/>
              </w:rPr>
              <w:t>）</w:t>
            </w:r>
          </w:p>
        </w:tc>
      </w:tr>
      <w:tr w:rsidR="00E07A00" w:rsidRPr="007D74AB" w:rsidTr="00D0063B">
        <w:trPr>
          <w:trHeight w:val="214"/>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收益类型</w:t>
            </w:r>
          </w:p>
        </w:tc>
        <w:tc>
          <w:tcPr>
            <w:tcW w:w="7513" w:type="dxa"/>
            <w:gridSpan w:val="2"/>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rPr>
            </w:pPr>
            <w:r>
              <w:rPr>
                <w:rFonts w:ascii="仿宋_GB2312" w:eastAsia="仿宋_GB2312" w:hAnsi="宋体" w:hint="eastAsia"/>
              </w:rPr>
              <w:t>非固定收益类型</w:t>
            </w:r>
          </w:p>
        </w:tc>
      </w:tr>
      <w:tr w:rsidR="00E07A00" w:rsidRPr="007D74AB" w:rsidTr="00D0063B">
        <w:trPr>
          <w:trHeight w:val="179"/>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 xml:space="preserve">产品期限 </w:t>
            </w:r>
          </w:p>
        </w:tc>
        <w:tc>
          <w:tcPr>
            <w:tcW w:w="7513" w:type="dxa"/>
            <w:gridSpan w:val="2"/>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rPr>
            </w:pPr>
            <w:r>
              <w:rPr>
                <w:rFonts w:ascii="仿宋_GB2312" w:eastAsia="仿宋_GB2312" w:hAnsi="宋体" w:hint="eastAsia"/>
              </w:rPr>
              <w:t>3年</w:t>
            </w:r>
          </w:p>
        </w:tc>
      </w:tr>
      <w:tr w:rsidR="00E07A00" w:rsidRPr="007D74AB" w:rsidTr="00D0063B">
        <w:trPr>
          <w:trHeight w:val="226"/>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 xml:space="preserve">托管人 </w:t>
            </w:r>
          </w:p>
        </w:tc>
        <w:tc>
          <w:tcPr>
            <w:tcW w:w="7513" w:type="dxa"/>
            <w:gridSpan w:val="2"/>
            <w:tcMar>
              <w:top w:w="11" w:type="dxa"/>
              <w:left w:w="73" w:type="dxa"/>
              <w:bottom w:w="0" w:type="dxa"/>
              <w:right w:w="73" w:type="dxa"/>
            </w:tcMar>
            <w:vAlign w:val="center"/>
          </w:tcPr>
          <w:p w:rsidR="00E07A00" w:rsidRPr="0080363E" w:rsidRDefault="00E07A00" w:rsidP="00D0063B">
            <w:pPr>
              <w:spacing w:line="400" w:lineRule="exact"/>
              <w:rPr>
                <w:rFonts w:ascii="仿宋_GB2312" w:eastAsia="仿宋_GB2312" w:hAnsi="宋体"/>
              </w:rPr>
            </w:pPr>
            <w:r>
              <w:rPr>
                <w:rFonts w:ascii="仿宋_GB2312" w:eastAsia="仿宋_GB2312" w:hAnsi="宋体" w:hint="eastAsia"/>
              </w:rPr>
              <w:t>中信证券股份有限公司</w:t>
            </w:r>
          </w:p>
        </w:tc>
      </w:tr>
      <w:tr w:rsidR="00E07A00" w:rsidRPr="007D74AB" w:rsidTr="00D0063B">
        <w:trPr>
          <w:trHeight w:val="226"/>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拟发行时间</w:t>
            </w:r>
          </w:p>
        </w:tc>
        <w:tc>
          <w:tcPr>
            <w:tcW w:w="7513" w:type="dxa"/>
            <w:gridSpan w:val="2"/>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rPr>
            </w:pPr>
            <w:r>
              <w:rPr>
                <w:rFonts w:ascii="仿宋_GB2312" w:eastAsia="仿宋_GB2312" w:hAnsi="宋体" w:hint="eastAsia"/>
              </w:rPr>
              <w:t>待定</w:t>
            </w:r>
          </w:p>
        </w:tc>
      </w:tr>
      <w:tr w:rsidR="00E07A00" w:rsidRPr="007D74AB" w:rsidTr="00D0063B">
        <w:trPr>
          <w:trHeight w:val="226"/>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最低认购额</w:t>
            </w:r>
          </w:p>
        </w:tc>
        <w:tc>
          <w:tcPr>
            <w:tcW w:w="7513" w:type="dxa"/>
            <w:gridSpan w:val="2"/>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rPr>
            </w:pPr>
            <w:r>
              <w:rPr>
                <w:rFonts w:ascii="仿宋_GB2312" w:eastAsia="仿宋_GB2312" w:hAnsi="宋体" w:hint="eastAsia"/>
              </w:rPr>
              <w:t>100万</w:t>
            </w:r>
          </w:p>
        </w:tc>
      </w:tr>
      <w:tr w:rsidR="00E07A00" w:rsidRPr="007D74AB" w:rsidTr="00D0063B">
        <w:trPr>
          <w:trHeight w:val="317"/>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 xml:space="preserve">证券经纪商 </w:t>
            </w:r>
          </w:p>
        </w:tc>
        <w:tc>
          <w:tcPr>
            <w:tcW w:w="7513" w:type="dxa"/>
            <w:gridSpan w:val="2"/>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rPr>
            </w:pPr>
            <w:r>
              <w:rPr>
                <w:rFonts w:ascii="仿宋_GB2312" w:eastAsia="仿宋_GB2312" w:hAnsi="宋体" w:hint="eastAsia"/>
              </w:rPr>
              <w:t>中信证券股份有限公司</w:t>
            </w:r>
          </w:p>
        </w:tc>
      </w:tr>
      <w:tr w:rsidR="00E07A00" w:rsidRPr="007D74AB" w:rsidTr="00D0063B">
        <w:trPr>
          <w:trHeight w:val="317"/>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期货经纪商</w:t>
            </w:r>
          </w:p>
        </w:tc>
        <w:tc>
          <w:tcPr>
            <w:tcW w:w="7513" w:type="dxa"/>
            <w:gridSpan w:val="2"/>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rPr>
            </w:pPr>
            <w:r>
              <w:rPr>
                <w:rFonts w:ascii="仿宋_GB2312" w:eastAsia="仿宋_GB2312" w:hAnsi="宋体" w:hint="eastAsia"/>
              </w:rPr>
              <w:t>待定</w:t>
            </w:r>
          </w:p>
        </w:tc>
      </w:tr>
      <w:tr w:rsidR="00E07A00" w:rsidRPr="007D74AB" w:rsidTr="00D0063B">
        <w:trPr>
          <w:trHeight w:val="179"/>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 xml:space="preserve">投资管理人 </w:t>
            </w:r>
          </w:p>
        </w:tc>
        <w:tc>
          <w:tcPr>
            <w:tcW w:w="7513" w:type="dxa"/>
            <w:gridSpan w:val="2"/>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rPr>
            </w:pPr>
            <w:r>
              <w:rPr>
                <w:rFonts w:ascii="仿宋_GB2312" w:eastAsia="仿宋_GB2312" w:hAnsi="宋体" w:hint="eastAsia"/>
              </w:rPr>
              <w:t>杭州德亚投资有限公司</w:t>
            </w:r>
          </w:p>
        </w:tc>
      </w:tr>
      <w:tr w:rsidR="00E07A00" w:rsidRPr="007D74AB" w:rsidTr="00D0063B">
        <w:trPr>
          <w:trHeight w:val="179"/>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投资经理</w:t>
            </w:r>
          </w:p>
        </w:tc>
        <w:tc>
          <w:tcPr>
            <w:tcW w:w="7513" w:type="dxa"/>
            <w:gridSpan w:val="2"/>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rPr>
            </w:pPr>
            <w:r>
              <w:rPr>
                <w:rFonts w:ascii="仿宋_GB2312" w:eastAsia="仿宋_GB2312" w:hAnsi="宋体" w:hint="eastAsia"/>
              </w:rPr>
              <w:t>张明利</w:t>
            </w:r>
          </w:p>
        </w:tc>
      </w:tr>
      <w:tr w:rsidR="00E07A00" w:rsidRPr="007D74AB" w:rsidTr="00D0063B">
        <w:trPr>
          <w:trHeight w:val="774"/>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 xml:space="preserve">投资范围 </w:t>
            </w:r>
          </w:p>
        </w:tc>
        <w:tc>
          <w:tcPr>
            <w:tcW w:w="7513" w:type="dxa"/>
            <w:gridSpan w:val="2"/>
            <w:tcMar>
              <w:top w:w="11" w:type="dxa"/>
              <w:left w:w="73" w:type="dxa"/>
              <w:bottom w:w="0" w:type="dxa"/>
              <w:right w:w="73" w:type="dxa"/>
            </w:tcMar>
            <w:vAlign w:val="center"/>
          </w:tcPr>
          <w:p w:rsidR="00E07A00" w:rsidRPr="0080363E" w:rsidRDefault="00E07A00" w:rsidP="00D0063B">
            <w:pPr>
              <w:spacing w:line="400" w:lineRule="exact"/>
              <w:rPr>
                <w:rFonts w:ascii="仿宋_GB2312" w:eastAsia="仿宋_GB2312" w:hAnsi="宋体"/>
              </w:rPr>
            </w:pPr>
            <w:bookmarkStart w:id="0" w:name="_GoBack"/>
            <w:bookmarkEnd w:id="0"/>
            <w:r w:rsidRPr="00ED6DEF">
              <w:rPr>
                <w:rFonts w:ascii="仿宋_GB2312" w:eastAsia="仿宋_GB2312" w:hAnsi="宋体" w:hint="eastAsia"/>
              </w:rPr>
              <w:t>本基金的投资范围为具有良好流动性的金融工具，包括中国金融期货交易所、国内期货交易所挂牌的期货交易品种，国内证券交易所挂牌交易的A股股票、申购新股、可转换债券、开放式基金以及封闭式基金（含ＥＴＦ基金和ＬＯＦ基金）、货币市场基金、国债、央票、期权、沪港通、新三板、金融衍生品、信用等级在投资级以上的短期融资券及银行存款等投资种类以及法律法规和中国证监会允许基金投资的其他金融工具，但需符合中国证监会的相关规定。如法律法规规定管理人需取得特定资质后方可投资某产品，则管理人须在获得相应资质后开展此项业务。</w:t>
            </w:r>
            <w:r w:rsidRPr="0080363E">
              <w:rPr>
                <w:rFonts w:ascii="仿宋_GB2312" w:eastAsia="仿宋_GB2312" w:hAnsi="宋体"/>
              </w:rPr>
              <w:t xml:space="preserve"> </w:t>
            </w:r>
          </w:p>
        </w:tc>
      </w:tr>
      <w:tr w:rsidR="00E07A00" w:rsidRPr="007D74AB" w:rsidTr="00D0063B">
        <w:trPr>
          <w:trHeight w:val="672"/>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Pr>
                <w:rFonts w:ascii="仿宋_GB2312" w:eastAsia="仿宋_GB2312" w:hAnsi="宋体" w:hint="eastAsia"/>
                <w:b/>
              </w:rPr>
              <w:t>基金</w:t>
            </w:r>
            <w:r w:rsidRPr="007D74AB">
              <w:rPr>
                <w:rFonts w:ascii="仿宋_GB2312" w:eastAsia="仿宋_GB2312" w:hAnsi="宋体" w:hint="eastAsia"/>
                <w:b/>
              </w:rPr>
              <w:t>规模</w:t>
            </w:r>
          </w:p>
        </w:tc>
        <w:tc>
          <w:tcPr>
            <w:tcW w:w="7513" w:type="dxa"/>
            <w:gridSpan w:val="2"/>
            <w:tcMar>
              <w:top w:w="11" w:type="dxa"/>
              <w:left w:w="73" w:type="dxa"/>
              <w:bottom w:w="0" w:type="dxa"/>
              <w:right w:w="73" w:type="dxa"/>
            </w:tcMar>
            <w:vAlign w:val="center"/>
          </w:tcPr>
          <w:p w:rsidR="00E07A00" w:rsidRPr="007D74AB" w:rsidRDefault="00E07A00" w:rsidP="00D0063B">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1亿以上</w:t>
            </w:r>
          </w:p>
        </w:tc>
      </w:tr>
      <w:tr w:rsidR="00E07A00" w:rsidRPr="007D74AB" w:rsidTr="00D0063B">
        <w:trPr>
          <w:trHeight w:val="668"/>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收益分配</w:t>
            </w:r>
          </w:p>
        </w:tc>
        <w:tc>
          <w:tcPr>
            <w:tcW w:w="7513" w:type="dxa"/>
            <w:gridSpan w:val="2"/>
            <w:tcMar>
              <w:top w:w="11" w:type="dxa"/>
              <w:left w:w="73" w:type="dxa"/>
              <w:bottom w:w="0" w:type="dxa"/>
              <w:right w:w="73" w:type="dxa"/>
            </w:tcMar>
            <w:vAlign w:val="center"/>
          </w:tcPr>
          <w:p w:rsidR="00E07A00" w:rsidRPr="0080363E" w:rsidRDefault="00AE5EE0" w:rsidP="00AE5EE0">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基金</w:t>
            </w:r>
            <w:r w:rsidR="00E07A00" w:rsidRPr="0080363E">
              <w:rPr>
                <w:rFonts w:ascii="仿宋_GB2312" w:eastAsia="仿宋_GB2312" w:hAnsi="宋体" w:cs="宋体" w:hint="eastAsia"/>
                <w:kern w:val="0"/>
                <w:szCs w:val="21"/>
              </w:rPr>
              <w:t>份额</w:t>
            </w:r>
            <w:r>
              <w:rPr>
                <w:rFonts w:ascii="仿宋_GB2312" w:eastAsia="仿宋_GB2312" w:hAnsi="宋体" w:cs="宋体" w:hint="eastAsia"/>
                <w:kern w:val="0"/>
                <w:szCs w:val="21"/>
              </w:rPr>
              <w:t>超额</w:t>
            </w:r>
            <w:r w:rsidR="00E07A00" w:rsidRPr="0080363E">
              <w:rPr>
                <w:rFonts w:ascii="仿宋_GB2312" w:eastAsia="仿宋_GB2312" w:hAnsi="宋体" w:cs="宋体" w:hint="eastAsia"/>
                <w:kern w:val="0"/>
                <w:szCs w:val="21"/>
              </w:rPr>
              <w:t>收益的</w:t>
            </w:r>
            <w:r>
              <w:rPr>
                <w:rFonts w:ascii="仿宋_GB2312" w:eastAsia="仿宋_GB2312" w:hAnsi="宋体" w:cs="宋体" w:hint="eastAsia"/>
                <w:kern w:val="0"/>
                <w:szCs w:val="21"/>
              </w:rPr>
              <w:t>30%分配给基金管理人作为业绩报酬</w:t>
            </w:r>
          </w:p>
        </w:tc>
      </w:tr>
      <w:tr w:rsidR="00E07A00" w:rsidRPr="007D74AB" w:rsidTr="00D0063B">
        <w:trPr>
          <w:trHeight w:val="693"/>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开放形式</w:t>
            </w:r>
          </w:p>
        </w:tc>
        <w:tc>
          <w:tcPr>
            <w:tcW w:w="7513" w:type="dxa"/>
            <w:gridSpan w:val="2"/>
            <w:tcMar>
              <w:top w:w="11" w:type="dxa"/>
              <w:left w:w="73" w:type="dxa"/>
              <w:bottom w:w="0" w:type="dxa"/>
              <w:right w:w="73" w:type="dxa"/>
            </w:tcMar>
            <w:vAlign w:val="center"/>
          </w:tcPr>
          <w:p w:rsidR="00E07A00" w:rsidRPr="0080363E" w:rsidRDefault="00E07A00" w:rsidP="00D0063B">
            <w:pPr>
              <w:widowControl/>
              <w:spacing w:line="400" w:lineRule="exact"/>
              <w:jc w:val="left"/>
              <w:rPr>
                <w:rFonts w:ascii="仿宋_GB2312" w:eastAsia="仿宋_GB2312" w:hAnsi="宋体" w:cs="宋体"/>
                <w:kern w:val="0"/>
                <w:szCs w:val="21"/>
              </w:rPr>
            </w:pPr>
            <w:r w:rsidRPr="0080363E">
              <w:rPr>
                <w:rFonts w:ascii="仿宋_GB2312" w:eastAsia="仿宋_GB2312" w:hAnsi="宋体" w:cs="宋体" w:hint="eastAsia"/>
                <w:kern w:val="0"/>
                <w:szCs w:val="21"/>
              </w:rPr>
              <w:t>封闭期半年，封闭期结束后每三个月开放一次</w:t>
            </w:r>
            <w:r w:rsidRPr="0080363E">
              <w:rPr>
                <w:rFonts w:ascii="仿宋_GB2312" w:eastAsia="仿宋_GB2312" w:hAnsi="宋体" w:cs="宋体"/>
                <w:kern w:val="0"/>
                <w:szCs w:val="21"/>
              </w:rPr>
              <w:t xml:space="preserve"> </w:t>
            </w:r>
          </w:p>
        </w:tc>
      </w:tr>
      <w:tr w:rsidR="00E07A00" w:rsidRPr="007D74AB" w:rsidTr="00D0063B">
        <w:trPr>
          <w:trHeight w:val="802"/>
        </w:trPr>
        <w:tc>
          <w:tcPr>
            <w:tcW w:w="1207" w:type="dxa"/>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风控措施</w:t>
            </w:r>
          </w:p>
        </w:tc>
        <w:tc>
          <w:tcPr>
            <w:tcW w:w="7513" w:type="dxa"/>
            <w:gridSpan w:val="2"/>
            <w:tcMar>
              <w:top w:w="11" w:type="dxa"/>
              <w:left w:w="73" w:type="dxa"/>
              <w:bottom w:w="0" w:type="dxa"/>
              <w:right w:w="73" w:type="dxa"/>
            </w:tcMar>
            <w:vAlign w:val="center"/>
          </w:tcPr>
          <w:p w:rsidR="00E07A00" w:rsidRPr="007D74AB" w:rsidRDefault="00E07A00" w:rsidP="00D0063B">
            <w:pPr>
              <w:widowControl/>
              <w:spacing w:line="400" w:lineRule="exact"/>
              <w:jc w:val="left"/>
              <w:rPr>
                <w:rFonts w:ascii="仿宋_GB2312" w:eastAsia="仿宋_GB2312" w:hAnsi="宋体" w:cs="宋体"/>
                <w:kern w:val="0"/>
                <w:szCs w:val="21"/>
              </w:rPr>
            </w:pPr>
            <w:r w:rsidRPr="007D74AB">
              <w:rPr>
                <w:rFonts w:ascii="仿宋_GB2312" w:eastAsia="仿宋_GB2312" w:hAnsi="宋体" w:cs="宋体" w:hint="eastAsia"/>
                <w:kern w:val="0"/>
                <w:szCs w:val="21"/>
              </w:rPr>
              <w:t>预警线</w:t>
            </w:r>
            <w:r>
              <w:rPr>
                <w:rFonts w:ascii="仿宋_GB2312" w:eastAsia="仿宋_GB2312" w:hAnsi="宋体" w:cs="宋体" w:hint="eastAsia"/>
                <w:kern w:val="0"/>
                <w:szCs w:val="21"/>
              </w:rPr>
              <w:t>：0.75</w:t>
            </w:r>
          </w:p>
          <w:p w:rsidR="00E07A00" w:rsidRPr="007D74AB" w:rsidRDefault="00E07A00" w:rsidP="00D0063B">
            <w:pPr>
              <w:widowControl/>
              <w:spacing w:line="400" w:lineRule="exact"/>
              <w:jc w:val="left"/>
              <w:rPr>
                <w:rFonts w:ascii="仿宋_GB2312" w:eastAsia="仿宋_GB2312" w:hAnsi="宋体" w:cs="宋体"/>
                <w:kern w:val="0"/>
                <w:szCs w:val="21"/>
              </w:rPr>
            </w:pPr>
            <w:r w:rsidRPr="007D74AB">
              <w:rPr>
                <w:rFonts w:ascii="仿宋_GB2312" w:eastAsia="仿宋_GB2312" w:hAnsi="宋体" w:cs="宋体" w:hint="eastAsia"/>
                <w:kern w:val="0"/>
                <w:szCs w:val="21"/>
              </w:rPr>
              <w:t>平仓线</w:t>
            </w:r>
            <w:r>
              <w:rPr>
                <w:rFonts w:ascii="仿宋_GB2312" w:eastAsia="仿宋_GB2312" w:hAnsi="宋体" w:cs="宋体" w:hint="eastAsia"/>
                <w:kern w:val="0"/>
                <w:szCs w:val="21"/>
              </w:rPr>
              <w:t>:0.70</w:t>
            </w:r>
          </w:p>
        </w:tc>
      </w:tr>
      <w:tr w:rsidR="00E07A00" w:rsidRPr="007D74AB" w:rsidTr="00D0063B">
        <w:trPr>
          <w:trHeight w:val="317"/>
        </w:trPr>
        <w:tc>
          <w:tcPr>
            <w:tcW w:w="1207" w:type="dxa"/>
            <w:vMerge w:val="restart"/>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r w:rsidRPr="007D74AB">
              <w:rPr>
                <w:rFonts w:ascii="仿宋_GB2312" w:eastAsia="仿宋_GB2312" w:hAnsi="宋体" w:hint="eastAsia"/>
                <w:b/>
              </w:rPr>
              <w:t xml:space="preserve">各项费用 </w:t>
            </w:r>
          </w:p>
        </w:tc>
        <w:tc>
          <w:tcPr>
            <w:tcW w:w="1843" w:type="dxa"/>
            <w:tcBorders>
              <w:right w:val="single" w:sz="4" w:space="0" w:color="auto"/>
            </w:tcBorders>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cs="宋体"/>
                <w:kern w:val="0"/>
                <w:szCs w:val="21"/>
              </w:rPr>
            </w:pPr>
            <w:r w:rsidRPr="007D74AB">
              <w:rPr>
                <w:rFonts w:ascii="仿宋_GB2312" w:eastAsia="仿宋_GB2312" w:hAnsi="宋体" w:cs="宋体" w:hint="eastAsia"/>
                <w:kern w:val="0"/>
                <w:szCs w:val="21"/>
              </w:rPr>
              <w:t>管理费</w:t>
            </w:r>
          </w:p>
        </w:tc>
        <w:tc>
          <w:tcPr>
            <w:tcW w:w="5670" w:type="dxa"/>
            <w:tcBorders>
              <w:left w:val="single" w:sz="4" w:space="0" w:color="auto"/>
            </w:tcBorders>
            <w:vAlign w:val="center"/>
          </w:tcPr>
          <w:p w:rsidR="00E07A00" w:rsidRPr="007D74AB" w:rsidRDefault="00E07A00" w:rsidP="00D0063B">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w:t>
            </w:r>
          </w:p>
        </w:tc>
      </w:tr>
      <w:tr w:rsidR="00E07A00" w:rsidRPr="007D74AB" w:rsidTr="00D0063B">
        <w:trPr>
          <w:trHeight w:val="317"/>
        </w:trPr>
        <w:tc>
          <w:tcPr>
            <w:tcW w:w="1207" w:type="dxa"/>
            <w:vMerge/>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p>
        </w:tc>
        <w:tc>
          <w:tcPr>
            <w:tcW w:w="1843" w:type="dxa"/>
            <w:tcBorders>
              <w:right w:val="single" w:sz="4" w:space="0" w:color="auto"/>
            </w:tcBorders>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cs="宋体"/>
                <w:kern w:val="0"/>
                <w:szCs w:val="21"/>
              </w:rPr>
            </w:pPr>
            <w:r w:rsidRPr="007D74AB">
              <w:rPr>
                <w:rFonts w:ascii="仿宋_GB2312" w:eastAsia="仿宋_GB2312" w:hAnsi="宋体" w:cs="宋体" w:hint="eastAsia"/>
                <w:kern w:val="0"/>
                <w:szCs w:val="21"/>
              </w:rPr>
              <w:t>托管费</w:t>
            </w:r>
          </w:p>
        </w:tc>
        <w:tc>
          <w:tcPr>
            <w:tcW w:w="5670" w:type="dxa"/>
            <w:tcBorders>
              <w:left w:val="single" w:sz="4" w:space="0" w:color="auto"/>
            </w:tcBorders>
            <w:vAlign w:val="center"/>
          </w:tcPr>
          <w:p w:rsidR="00E07A00" w:rsidRPr="007D74AB" w:rsidRDefault="00AE5EE0" w:rsidP="00D0063B">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0.1%</w:t>
            </w:r>
          </w:p>
        </w:tc>
      </w:tr>
      <w:tr w:rsidR="00E07A00" w:rsidRPr="007D74AB" w:rsidTr="00D0063B">
        <w:trPr>
          <w:trHeight w:val="317"/>
        </w:trPr>
        <w:tc>
          <w:tcPr>
            <w:tcW w:w="1207" w:type="dxa"/>
            <w:vMerge/>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p>
        </w:tc>
        <w:tc>
          <w:tcPr>
            <w:tcW w:w="1843" w:type="dxa"/>
            <w:tcBorders>
              <w:right w:val="single" w:sz="4" w:space="0" w:color="auto"/>
            </w:tcBorders>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cs="宋体"/>
                <w:kern w:val="0"/>
                <w:szCs w:val="21"/>
              </w:rPr>
            </w:pPr>
            <w:r w:rsidRPr="007D74AB">
              <w:rPr>
                <w:rFonts w:ascii="仿宋_GB2312" w:eastAsia="仿宋_GB2312" w:hAnsi="宋体" w:cs="宋体" w:hint="eastAsia"/>
                <w:kern w:val="0"/>
                <w:szCs w:val="21"/>
              </w:rPr>
              <w:t>认购费（销售费）</w:t>
            </w:r>
          </w:p>
        </w:tc>
        <w:tc>
          <w:tcPr>
            <w:tcW w:w="5670" w:type="dxa"/>
            <w:tcBorders>
              <w:left w:val="single" w:sz="4" w:space="0" w:color="auto"/>
            </w:tcBorders>
            <w:vAlign w:val="center"/>
          </w:tcPr>
          <w:p w:rsidR="00E07A00" w:rsidRPr="007D74AB" w:rsidRDefault="00E07A00" w:rsidP="00D0063B">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0</w:t>
            </w:r>
          </w:p>
        </w:tc>
      </w:tr>
      <w:tr w:rsidR="00E07A00" w:rsidRPr="007D74AB" w:rsidTr="00D0063B">
        <w:trPr>
          <w:trHeight w:val="317"/>
        </w:trPr>
        <w:tc>
          <w:tcPr>
            <w:tcW w:w="1207" w:type="dxa"/>
            <w:vMerge/>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p>
        </w:tc>
        <w:tc>
          <w:tcPr>
            <w:tcW w:w="1843" w:type="dxa"/>
            <w:tcBorders>
              <w:right w:val="single" w:sz="4" w:space="0" w:color="auto"/>
            </w:tcBorders>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赎回</w:t>
            </w:r>
            <w:r w:rsidRPr="007D74AB">
              <w:rPr>
                <w:rFonts w:ascii="仿宋_GB2312" w:eastAsia="仿宋_GB2312" w:hAnsi="宋体" w:cs="宋体" w:hint="eastAsia"/>
                <w:kern w:val="0"/>
                <w:szCs w:val="21"/>
              </w:rPr>
              <w:t>费</w:t>
            </w:r>
          </w:p>
        </w:tc>
        <w:tc>
          <w:tcPr>
            <w:tcW w:w="5670" w:type="dxa"/>
            <w:tcBorders>
              <w:left w:val="single" w:sz="4" w:space="0" w:color="auto"/>
            </w:tcBorders>
            <w:vAlign w:val="center"/>
          </w:tcPr>
          <w:p w:rsidR="00E07A00" w:rsidRPr="007D74AB" w:rsidRDefault="00E07A00" w:rsidP="00D0063B">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0</w:t>
            </w:r>
          </w:p>
        </w:tc>
      </w:tr>
      <w:tr w:rsidR="00E07A00" w:rsidRPr="007D74AB" w:rsidTr="00D0063B">
        <w:trPr>
          <w:trHeight w:val="317"/>
        </w:trPr>
        <w:tc>
          <w:tcPr>
            <w:tcW w:w="1207" w:type="dxa"/>
            <w:vMerge/>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b/>
              </w:rPr>
            </w:pPr>
          </w:p>
        </w:tc>
        <w:tc>
          <w:tcPr>
            <w:tcW w:w="1843" w:type="dxa"/>
            <w:tcBorders>
              <w:right w:val="single" w:sz="4" w:space="0" w:color="auto"/>
            </w:tcBorders>
            <w:tcMar>
              <w:top w:w="11" w:type="dxa"/>
              <w:left w:w="73" w:type="dxa"/>
              <w:bottom w:w="0" w:type="dxa"/>
              <w:right w:w="73" w:type="dxa"/>
            </w:tcMar>
            <w:vAlign w:val="center"/>
          </w:tcPr>
          <w:p w:rsidR="00E07A00" w:rsidRPr="007D74AB" w:rsidRDefault="00E07A00" w:rsidP="00D0063B">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外包服务</w:t>
            </w:r>
            <w:r w:rsidRPr="007D74AB">
              <w:rPr>
                <w:rFonts w:ascii="仿宋_GB2312" w:eastAsia="仿宋_GB2312" w:hAnsi="宋体" w:cs="宋体" w:hint="eastAsia"/>
                <w:kern w:val="0"/>
                <w:szCs w:val="21"/>
              </w:rPr>
              <w:t>费</w:t>
            </w:r>
          </w:p>
        </w:tc>
        <w:tc>
          <w:tcPr>
            <w:tcW w:w="5670" w:type="dxa"/>
            <w:tcBorders>
              <w:left w:val="single" w:sz="4" w:space="0" w:color="auto"/>
            </w:tcBorders>
            <w:vAlign w:val="center"/>
          </w:tcPr>
          <w:p w:rsidR="00E07A00" w:rsidRPr="007D74AB" w:rsidRDefault="00AE5EE0" w:rsidP="00D0063B">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0.12%</w:t>
            </w:r>
          </w:p>
        </w:tc>
      </w:tr>
    </w:tbl>
    <w:p w:rsidR="004058DC" w:rsidRPr="00E07A00" w:rsidRDefault="00E07A00" w:rsidP="00E07A00">
      <w:pPr>
        <w:spacing w:after="156"/>
        <w:rPr>
          <w:sz w:val="48"/>
          <w:szCs w:val="48"/>
        </w:rPr>
      </w:pPr>
      <w:r>
        <w:rPr>
          <w:rFonts w:hint="eastAsia"/>
          <w:sz w:val="48"/>
          <w:szCs w:val="48"/>
        </w:rPr>
        <w:t>新</w:t>
      </w:r>
      <w:r w:rsidRPr="00E07A00">
        <w:rPr>
          <w:rFonts w:hint="eastAsia"/>
          <w:sz w:val="48"/>
          <w:szCs w:val="48"/>
        </w:rPr>
        <w:t>产品要素表</w:t>
      </w:r>
    </w:p>
    <w:sectPr w:rsidR="004058DC" w:rsidRPr="00E07A00" w:rsidSect="004058D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87A" w:rsidRDefault="0087287A" w:rsidP="00333270">
      <w:r>
        <w:separator/>
      </w:r>
    </w:p>
  </w:endnote>
  <w:endnote w:type="continuationSeparator" w:id="1">
    <w:p w:rsidR="0087287A" w:rsidRDefault="0087287A" w:rsidP="003332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70" w:rsidRDefault="003332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70" w:rsidRDefault="0033327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70" w:rsidRDefault="003332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87A" w:rsidRDefault="0087287A" w:rsidP="00333270">
      <w:r>
        <w:separator/>
      </w:r>
    </w:p>
  </w:footnote>
  <w:footnote w:type="continuationSeparator" w:id="1">
    <w:p w:rsidR="0087287A" w:rsidRDefault="0087287A" w:rsidP="00333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70" w:rsidRDefault="003332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70" w:rsidRDefault="0033327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70" w:rsidRDefault="0033327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7A00"/>
    <w:rsid w:val="003103ED"/>
    <w:rsid w:val="00333270"/>
    <w:rsid w:val="004058DC"/>
    <w:rsid w:val="00473BB6"/>
    <w:rsid w:val="004C0873"/>
    <w:rsid w:val="006137AF"/>
    <w:rsid w:val="006246A8"/>
    <w:rsid w:val="00657A1A"/>
    <w:rsid w:val="0087287A"/>
    <w:rsid w:val="00AE5EE0"/>
    <w:rsid w:val="00AF479F"/>
    <w:rsid w:val="00C65CC9"/>
    <w:rsid w:val="00E07A00"/>
    <w:rsid w:val="00EF7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50" w:line="400" w:lineRule="exact"/>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00"/>
    <w:pPr>
      <w:widowControl w:val="0"/>
      <w:spacing w:afterLines="0" w:line="240" w:lineRule="auto"/>
      <w:ind w:left="0" w:firstLine="0"/>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3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3270"/>
    <w:rPr>
      <w:rFonts w:ascii="Calibri" w:eastAsia="宋体" w:hAnsi="Calibri" w:cs="黑体"/>
      <w:sz w:val="18"/>
      <w:szCs w:val="18"/>
    </w:rPr>
  </w:style>
  <w:style w:type="paragraph" w:styleId="a4">
    <w:name w:val="footer"/>
    <w:basedOn w:val="a"/>
    <w:link w:val="Char0"/>
    <w:uiPriority w:val="99"/>
    <w:semiHidden/>
    <w:unhideWhenUsed/>
    <w:rsid w:val="003332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3270"/>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Administrator</cp:lastModifiedBy>
  <cp:revision>3</cp:revision>
  <dcterms:created xsi:type="dcterms:W3CDTF">2015-06-04T06:38:00Z</dcterms:created>
  <dcterms:modified xsi:type="dcterms:W3CDTF">2015-07-02T08:50:00Z</dcterms:modified>
</cp:coreProperties>
</file>